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D96" w:rsidRDefault="00354D96" w:rsidP="00354D96">
      <w:pPr>
        <w:pStyle w:val="Kop1"/>
        <w:rPr>
          <w:rFonts w:eastAsia="Times New Roman"/>
          <w:lang w:eastAsia="nl-NL"/>
        </w:rPr>
      </w:pPr>
      <w:r>
        <w:rPr>
          <w:rFonts w:eastAsia="Times New Roman"/>
          <w:lang w:eastAsia="nl-NL"/>
        </w:rPr>
        <w:t>NTA 7516 - vastlegging eisen door zorgorganisatie</w:t>
      </w:r>
    </w:p>
    <w:p w:rsidR="00354D96" w:rsidRDefault="00354D96" w:rsidP="00354D96">
      <w:pPr>
        <w:textAlignment w:val="baseline"/>
        <w:rPr>
          <w:rFonts w:ascii="Calibri" w:eastAsia="Times New Roman" w:hAnsi="Calibri" w:cs="Calibri"/>
          <w:szCs w:val="22"/>
          <w:lang w:eastAsia="nl-NL"/>
        </w:rPr>
      </w:pPr>
    </w:p>
    <w:p w:rsidR="00354D96" w:rsidRPr="00617F4A" w:rsidRDefault="00354D96" w:rsidP="00354D96">
      <w:pPr>
        <w:textAlignment w:val="baseline"/>
        <w:rPr>
          <w:rFonts w:ascii="Arial" w:eastAsia="Times New Roman" w:hAnsi="Arial" w:cs="Arial"/>
          <w:sz w:val="18"/>
          <w:szCs w:val="18"/>
          <w:lang w:eastAsia="nl-NL"/>
        </w:rPr>
      </w:pPr>
      <w:r>
        <w:rPr>
          <w:rFonts w:ascii="Calibri" w:eastAsia="Times New Roman" w:hAnsi="Calibri" w:cs="Calibri"/>
          <w:szCs w:val="22"/>
          <w:lang w:eastAsia="nl-NL"/>
        </w:rPr>
        <w:t xml:space="preserve">In overleg met professional [NAAM ZORGMEDEWERKER] heeft [ORGANISATIE] de volgende </w:t>
      </w:r>
      <w:r w:rsidRPr="00617F4A">
        <w:rPr>
          <w:rFonts w:ascii="Calibri" w:eastAsia="Times New Roman" w:hAnsi="Calibri" w:cs="Calibri"/>
          <w:szCs w:val="22"/>
          <w:lang w:eastAsia="nl-NL"/>
        </w:rPr>
        <w:t xml:space="preserve">minimale eisen </w:t>
      </w:r>
      <w:r>
        <w:rPr>
          <w:rFonts w:ascii="Calibri" w:eastAsia="Times New Roman" w:hAnsi="Calibri" w:cs="Calibri"/>
          <w:szCs w:val="22"/>
          <w:lang w:eastAsia="nl-NL"/>
        </w:rPr>
        <w:t xml:space="preserve">vastgesteld met betrekking tot de criteria uit </w:t>
      </w:r>
      <w:r w:rsidRPr="00617F4A">
        <w:rPr>
          <w:rFonts w:ascii="Calibri" w:eastAsia="Times New Roman" w:hAnsi="Calibri" w:cs="Calibri"/>
          <w:szCs w:val="22"/>
          <w:lang w:eastAsia="nl-NL"/>
        </w:rPr>
        <w:t>NTA 7516</w:t>
      </w:r>
      <w:r>
        <w:rPr>
          <w:rFonts w:ascii="Calibri" w:eastAsia="Times New Roman" w:hAnsi="Calibri" w:cs="Calibri"/>
          <w:szCs w:val="22"/>
          <w:lang w:eastAsia="nl-NL"/>
        </w:rPr>
        <w:t>:</w:t>
      </w:r>
      <w:r w:rsidRPr="00617F4A">
        <w:rPr>
          <w:rFonts w:ascii="Calibri" w:eastAsia="Times New Roman" w:hAnsi="Calibri" w:cs="Calibri"/>
          <w:szCs w:val="22"/>
          <w:lang w:eastAsia="nl-NL"/>
        </w:rPr>
        <w:t> </w:t>
      </w:r>
    </w:p>
    <w:p w:rsidR="00354D96" w:rsidRPr="00617F4A" w:rsidRDefault="00354D96" w:rsidP="00354D96">
      <w:pPr>
        <w:textAlignment w:val="baseline"/>
        <w:rPr>
          <w:rFonts w:ascii="Arial" w:eastAsia="Times New Roman" w:hAnsi="Arial" w:cs="Arial"/>
          <w:sz w:val="18"/>
          <w:szCs w:val="18"/>
          <w:lang w:eastAsia="nl-NL"/>
        </w:rPr>
      </w:pPr>
      <w:r w:rsidRPr="00617F4A">
        <w:rPr>
          <w:rFonts w:ascii="Calibri" w:eastAsia="Times New Roman" w:hAnsi="Calibri" w:cs="Calibri"/>
          <w:szCs w:val="22"/>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1"/>
        <w:gridCol w:w="1533"/>
        <w:gridCol w:w="2425"/>
        <w:gridCol w:w="1757"/>
      </w:tblGrid>
      <w:tr w:rsidR="00354D96" w:rsidRPr="00617F4A" w:rsidTr="006115E3">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b/>
                <w:bCs/>
                <w:sz w:val="20"/>
                <w:szCs w:val="20"/>
                <w:lang w:eastAsia="nl-NL"/>
              </w:rPr>
              <w:t>Groep</w:t>
            </w:r>
            <w:r w:rsidRPr="00617F4A">
              <w:rPr>
                <w:rFonts w:ascii="Calibri" w:eastAsia="Times New Roman" w:hAnsi="Calibri" w:cs="Calibri"/>
                <w:sz w:val="20"/>
                <w:szCs w:val="20"/>
                <w:lang w:eastAsia="nl-NL"/>
              </w:rPr>
              <w:t> </w:t>
            </w:r>
          </w:p>
        </w:tc>
        <w:tc>
          <w:tcPr>
            <w:tcW w:w="1695" w:type="dxa"/>
            <w:tcBorders>
              <w:top w:val="single" w:sz="6" w:space="0" w:color="000000"/>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b/>
                <w:bCs/>
                <w:sz w:val="20"/>
                <w:szCs w:val="20"/>
                <w:lang w:eastAsia="nl-NL"/>
              </w:rPr>
              <w:t>Criterium</w:t>
            </w:r>
            <w:r w:rsidRPr="00617F4A">
              <w:rPr>
                <w:rFonts w:ascii="Calibri" w:eastAsia="Times New Roman" w:hAnsi="Calibri" w:cs="Calibri"/>
                <w:sz w:val="20"/>
                <w:szCs w:val="20"/>
                <w:lang w:eastAsia="nl-NL"/>
              </w:rPr>
              <w:t> </w:t>
            </w:r>
          </w:p>
        </w:tc>
        <w:tc>
          <w:tcPr>
            <w:tcW w:w="3960" w:type="dxa"/>
            <w:tcBorders>
              <w:top w:val="single" w:sz="6" w:space="0" w:color="000000"/>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b/>
                <w:bCs/>
                <w:sz w:val="20"/>
                <w:szCs w:val="20"/>
                <w:lang w:eastAsia="nl-NL"/>
              </w:rPr>
              <w:t>Minimale eis van </w:t>
            </w:r>
            <w:r>
              <w:rPr>
                <w:rFonts w:ascii="Calibri" w:eastAsia="Times New Roman" w:hAnsi="Calibri" w:cs="Calibri"/>
                <w:b/>
                <w:bCs/>
                <w:sz w:val="20"/>
                <w:szCs w:val="20"/>
                <w:lang w:eastAsia="nl-NL"/>
              </w:rPr>
              <w:t>[ORGANISATIE]</w:t>
            </w:r>
            <w:r w:rsidRPr="00617F4A">
              <w:rPr>
                <w:rFonts w:ascii="Calibri" w:eastAsia="Times New Roman" w:hAnsi="Calibri" w:cs="Calibri"/>
                <w:sz w:val="20"/>
                <w:szCs w:val="20"/>
                <w:lang w:eastAsia="nl-NL"/>
              </w:rPr>
              <w:t> </w:t>
            </w:r>
          </w:p>
        </w:tc>
        <w:tc>
          <w:tcPr>
            <w:tcW w:w="3105" w:type="dxa"/>
            <w:tcBorders>
              <w:top w:val="single" w:sz="6" w:space="0" w:color="000000"/>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b/>
                <w:bCs/>
                <w:sz w:val="20"/>
                <w:szCs w:val="20"/>
                <w:lang w:eastAsia="nl-NL"/>
              </w:rPr>
              <w:t>Onderbouwing</w:t>
            </w:r>
            <w:r w:rsidRPr="00617F4A">
              <w:rPr>
                <w:rFonts w:ascii="Calibri" w:eastAsia="Times New Roman" w:hAnsi="Calibri" w:cs="Calibri"/>
                <w:sz w:val="20"/>
                <w:szCs w:val="20"/>
                <w:lang w:eastAsia="nl-NL"/>
              </w:rPr>
              <w:t> </w:t>
            </w:r>
          </w:p>
        </w:tc>
      </w:tr>
      <w:tr w:rsidR="00354D96" w:rsidRPr="00617F4A" w:rsidTr="006115E3">
        <w:tc>
          <w:tcPr>
            <w:tcW w:w="840" w:type="dxa"/>
            <w:vMerge w:val="restart"/>
            <w:tcBorders>
              <w:top w:val="nil"/>
              <w:left w:val="single" w:sz="6" w:space="0" w:color="000000"/>
              <w:bottom w:val="single" w:sz="6" w:space="0" w:color="000000"/>
              <w:right w:val="single" w:sz="6" w:space="0" w:color="000000"/>
            </w:tcBorders>
            <w:shd w:val="clear" w:color="auto" w:fill="auto"/>
            <w:hideMark/>
          </w:tcPr>
          <w:p w:rsidR="00354D96" w:rsidRPr="00617F4A" w:rsidRDefault="00354D96" w:rsidP="006115E3">
            <w:pPr>
              <w:ind w:left="105" w:right="105"/>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BESCHIKBAARHEID </w:t>
            </w:r>
          </w:p>
        </w:tc>
        <w:tc>
          <w:tcPr>
            <w:tcW w:w="169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Minimale beschikbaarheid  </w:t>
            </w:r>
          </w:p>
        </w:tc>
        <w:tc>
          <w:tcPr>
            <w:tcW w:w="3960"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Minstens 99,8 % per jaar moet ad-hoc berichtenverkeer beschikbaar zijn. </w:t>
            </w:r>
          </w:p>
        </w:tc>
        <w:tc>
          <w:tcPr>
            <w:tcW w:w="310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Deze eis moet eraan bijdragen dat er niet wordt overgegaan op een onveilig alternatief. </w:t>
            </w:r>
          </w:p>
        </w:tc>
      </w:tr>
      <w:tr w:rsidR="00354D96" w:rsidRPr="00617F4A" w:rsidTr="006115E3">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354D96" w:rsidRPr="00617F4A" w:rsidRDefault="00354D96" w:rsidP="006115E3">
            <w:pPr>
              <w:rPr>
                <w:rFonts w:ascii="Times New Roman" w:eastAsia="Times New Roman" w:hAnsi="Times New Roman" w:cs="Times New Roman"/>
                <w:lang w:eastAsia="nl-NL"/>
              </w:rPr>
            </w:pPr>
          </w:p>
        </w:tc>
        <w:tc>
          <w:tcPr>
            <w:tcW w:w="169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Maximale uitvalduur </w:t>
            </w:r>
          </w:p>
        </w:tc>
        <w:tc>
          <w:tcPr>
            <w:tcW w:w="3960"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De hoogst aanvaardbare aaneengesloten uitvalduur is 24 uur. </w:t>
            </w:r>
          </w:p>
        </w:tc>
        <w:tc>
          <w:tcPr>
            <w:tcW w:w="310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Deze eis moet eraan bijdragen dat er niet wordt overgegaan op een onveilig alternatief. </w:t>
            </w:r>
          </w:p>
        </w:tc>
      </w:tr>
      <w:tr w:rsidR="00354D96" w:rsidRPr="00617F4A" w:rsidTr="006115E3">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354D96" w:rsidRPr="00617F4A" w:rsidRDefault="00354D96" w:rsidP="006115E3">
            <w:pPr>
              <w:rPr>
                <w:rFonts w:ascii="Times New Roman" w:eastAsia="Times New Roman" w:hAnsi="Times New Roman" w:cs="Times New Roman"/>
                <w:lang w:eastAsia="nl-NL"/>
              </w:rPr>
            </w:pPr>
          </w:p>
        </w:tc>
        <w:tc>
          <w:tcPr>
            <w:tcW w:w="169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Maximaal gegevensverlies  </w:t>
            </w:r>
          </w:p>
        </w:tc>
        <w:tc>
          <w:tcPr>
            <w:tcW w:w="3960"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Geen enkel verlies is acceptabel, tenzij verzender binnen 24 uur na verzending geïnformeerd wordt. </w:t>
            </w:r>
          </w:p>
        </w:tc>
        <w:tc>
          <w:tcPr>
            <w:tcW w:w="310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Binnen de gestelde 24 uur is het nog haalbaar om informatie opnieuw te verzenden. </w:t>
            </w:r>
          </w:p>
        </w:tc>
      </w:tr>
      <w:tr w:rsidR="00354D96" w:rsidRPr="00617F4A" w:rsidTr="006115E3">
        <w:tc>
          <w:tcPr>
            <w:tcW w:w="840" w:type="dxa"/>
            <w:vMerge w:val="restart"/>
            <w:tcBorders>
              <w:top w:val="nil"/>
              <w:left w:val="single" w:sz="6" w:space="0" w:color="000000"/>
              <w:bottom w:val="single" w:sz="6" w:space="0" w:color="000000"/>
              <w:right w:val="single" w:sz="6" w:space="0" w:color="000000"/>
            </w:tcBorders>
            <w:shd w:val="clear" w:color="auto" w:fill="auto"/>
            <w:hideMark/>
          </w:tcPr>
          <w:p w:rsidR="00354D96" w:rsidRPr="00617F4A" w:rsidRDefault="00354D96" w:rsidP="006115E3">
            <w:pPr>
              <w:ind w:left="105" w:right="105"/>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INTEGRITEIT </w:t>
            </w:r>
            <w:bookmarkStart w:id="0" w:name="_GoBack"/>
            <w:bookmarkEnd w:id="0"/>
          </w:p>
        </w:tc>
        <w:tc>
          <w:tcPr>
            <w:tcW w:w="169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Herkomst-bevestiging </w:t>
            </w:r>
          </w:p>
        </w:tc>
        <w:tc>
          <w:tcPr>
            <w:tcW w:w="3960"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Er moet minimaal gebruik worden gemaakt van een 2-factorauthenticatie met gecontroleerd uitgifteproces. </w:t>
            </w:r>
          </w:p>
        </w:tc>
        <w:tc>
          <w:tcPr>
            <w:tcW w:w="310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Deze eis moet ervoor zorgen dat de verzender daadwerkelijk degene is die zich als zodanig uitgeeft. De eis kan worden geborgd op basis van</w:t>
            </w:r>
            <w:r>
              <w:rPr>
                <w:rFonts w:ascii="Calibri" w:eastAsia="Times New Roman" w:hAnsi="Calibri" w:cs="Calibri"/>
                <w:sz w:val="20"/>
                <w:szCs w:val="20"/>
                <w:lang w:eastAsia="nl-NL"/>
              </w:rPr>
              <w:t xml:space="preserve"> [ONDERBOUWING – </w:t>
            </w:r>
            <w:r w:rsidRPr="00354D96">
              <w:rPr>
                <w:rFonts w:ascii="Calibri" w:eastAsia="Times New Roman" w:hAnsi="Calibri" w:cs="Calibri"/>
                <w:i/>
                <w:sz w:val="20"/>
                <w:szCs w:val="20"/>
                <w:lang w:eastAsia="nl-NL"/>
              </w:rPr>
              <w:t xml:space="preserve">bijv. Single </w:t>
            </w:r>
            <w:proofErr w:type="spellStart"/>
            <w:r w:rsidRPr="00354D96">
              <w:rPr>
                <w:rFonts w:ascii="Calibri" w:eastAsia="Times New Roman" w:hAnsi="Calibri" w:cs="Calibri"/>
                <w:i/>
                <w:sz w:val="20"/>
                <w:szCs w:val="20"/>
                <w:lang w:eastAsia="nl-NL"/>
              </w:rPr>
              <w:t>Sign</w:t>
            </w:r>
            <w:proofErr w:type="spellEnd"/>
            <w:r w:rsidRPr="00354D96">
              <w:rPr>
                <w:rFonts w:ascii="Calibri" w:eastAsia="Times New Roman" w:hAnsi="Calibri" w:cs="Calibri"/>
                <w:i/>
                <w:sz w:val="20"/>
                <w:szCs w:val="20"/>
                <w:lang w:eastAsia="nl-NL"/>
              </w:rPr>
              <w:t xml:space="preserve"> On </w:t>
            </w:r>
            <w:r>
              <w:rPr>
                <w:rFonts w:ascii="Calibri" w:eastAsia="Times New Roman" w:hAnsi="Calibri" w:cs="Calibri"/>
                <w:i/>
                <w:sz w:val="20"/>
                <w:szCs w:val="20"/>
                <w:lang w:eastAsia="nl-NL"/>
              </w:rPr>
              <w:t>via</w:t>
            </w:r>
            <w:r w:rsidRPr="00354D96">
              <w:rPr>
                <w:rFonts w:ascii="Calibri" w:eastAsia="Times New Roman" w:hAnsi="Calibri" w:cs="Calibri"/>
                <w:i/>
                <w:sz w:val="20"/>
                <w:szCs w:val="20"/>
                <w:lang w:eastAsia="nl-NL"/>
              </w:rPr>
              <w:t xml:space="preserve"> Active Directory met 2FA]</w:t>
            </w:r>
            <w:r>
              <w:rPr>
                <w:rFonts w:ascii="Calibri" w:eastAsia="Times New Roman" w:hAnsi="Calibri" w:cs="Calibri"/>
                <w:sz w:val="20"/>
                <w:szCs w:val="20"/>
                <w:lang w:eastAsia="nl-NL"/>
              </w:rPr>
              <w:t>.</w:t>
            </w:r>
          </w:p>
        </w:tc>
      </w:tr>
      <w:tr w:rsidR="00354D96" w:rsidRPr="00617F4A" w:rsidTr="006115E3">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354D96" w:rsidRPr="00617F4A" w:rsidRDefault="00354D96" w:rsidP="006115E3">
            <w:pPr>
              <w:rPr>
                <w:rFonts w:ascii="Times New Roman" w:eastAsia="Times New Roman" w:hAnsi="Times New Roman" w:cs="Times New Roman"/>
                <w:lang w:eastAsia="nl-NL"/>
              </w:rPr>
            </w:pPr>
          </w:p>
        </w:tc>
        <w:tc>
          <w:tcPr>
            <w:tcW w:w="169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Data-integriteit </w:t>
            </w:r>
          </w:p>
        </w:tc>
        <w:tc>
          <w:tcPr>
            <w:tcW w:w="3960"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Wijzigen van de inhoud van een ad-bericht tussen verzending en ontvangst is niet toegestaan. </w:t>
            </w:r>
          </w:p>
        </w:tc>
        <w:tc>
          <w:tcPr>
            <w:tcW w:w="310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Deze eis moet borgen dat de ontvangen inhoud gelijk is aan de verzonden inhoud. </w:t>
            </w:r>
          </w:p>
        </w:tc>
      </w:tr>
      <w:tr w:rsidR="00354D96" w:rsidRPr="00617F4A" w:rsidTr="006115E3">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354D96" w:rsidRPr="00617F4A" w:rsidRDefault="00354D96" w:rsidP="006115E3">
            <w:pPr>
              <w:rPr>
                <w:rFonts w:ascii="Times New Roman" w:eastAsia="Times New Roman" w:hAnsi="Times New Roman" w:cs="Times New Roman"/>
                <w:lang w:eastAsia="nl-NL"/>
              </w:rPr>
            </w:pPr>
          </w:p>
        </w:tc>
        <w:tc>
          <w:tcPr>
            <w:tcW w:w="169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proofErr w:type="spellStart"/>
            <w:proofErr w:type="gramStart"/>
            <w:r w:rsidRPr="00617F4A">
              <w:rPr>
                <w:rFonts w:ascii="Calibri" w:eastAsia="Times New Roman" w:hAnsi="Calibri" w:cs="Calibri"/>
                <w:sz w:val="20"/>
                <w:szCs w:val="20"/>
                <w:lang w:eastAsia="nl-NL"/>
              </w:rPr>
              <w:t>Onweerlegbaar-heid</w:t>
            </w:r>
            <w:proofErr w:type="spellEnd"/>
            <w:proofErr w:type="gramEnd"/>
            <w:r w:rsidRPr="00617F4A">
              <w:rPr>
                <w:rFonts w:ascii="Calibri" w:eastAsia="Times New Roman" w:hAnsi="Calibri" w:cs="Calibri"/>
                <w:sz w:val="20"/>
                <w:szCs w:val="20"/>
                <w:lang w:eastAsia="nl-NL"/>
              </w:rPr>
              <w:t> verzender </w:t>
            </w:r>
          </w:p>
        </w:tc>
        <w:tc>
          <w:tcPr>
            <w:tcW w:w="3960"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De herkomst van een ad-</w:t>
            </w:r>
            <w:proofErr w:type="spellStart"/>
            <w:r w:rsidRPr="00617F4A">
              <w:rPr>
                <w:rFonts w:ascii="Calibri" w:eastAsia="Times New Roman" w:hAnsi="Calibri" w:cs="Calibri"/>
                <w:sz w:val="20"/>
                <w:szCs w:val="20"/>
                <w:lang w:eastAsia="nl-NL"/>
              </w:rPr>
              <w:t>hocbericht</w:t>
            </w:r>
            <w:proofErr w:type="spellEnd"/>
            <w:r w:rsidRPr="00617F4A">
              <w:rPr>
                <w:rFonts w:ascii="Calibri" w:eastAsia="Times New Roman" w:hAnsi="Calibri" w:cs="Calibri"/>
                <w:sz w:val="20"/>
                <w:szCs w:val="20"/>
                <w:lang w:eastAsia="nl-NL"/>
              </w:rPr>
              <w:t> kan niet door de verzender worden ontkend. Concreet betekent dit het inregelen van anti-</w:t>
            </w:r>
            <w:proofErr w:type="spellStart"/>
            <w:r w:rsidRPr="00617F4A">
              <w:rPr>
                <w:rFonts w:ascii="Calibri" w:eastAsia="Times New Roman" w:hAnsi="Calibri" w:cs="Calibri"/>
                <w:sz w:val="20"/>
                <w:szCs w:val="20"/>
                <w:lang w:eastAsia="nl-NL"/>
              </w:rPr>
              <w:t>spoofing</w:t>
            </w:r>
            <w:proofErr w:type="spellEnd"/>
            <w:r w:rsidRPr="00617F4A">
              <w:rPr>
                <w:rFonts w:ascii="Calibri" w:eastAsia="Times New Roman" w:hAnsi="Calibri" w:cs="Calibri"/>
                <w:sz w:val="20"/>
                <w:szCs w:val="20"/>
                <w:lang w:eastAsia="nl-NL"/>
              </w:rPr>
              <w:t> maatregelen. </w:t>
            </w:r>
          </w:p>
        </w:tc>
        <w:tc>
          <w:tcPr>
            <w:tcW w:w="310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De ontvanger moet visueel kunnen vaststellen welke persoon of professional de afzender is van een ad-</w:t>
            </w:r>
            <w:proofErr w:type="spellStart"/>
            <w:r w:rsidRPr="00617F4A">
              <w:rPr>
                <w:rFonts w:ascii="Calibri" w:eastAsia="Times New Roman" w:hAnsi="Calibri" w:cs="Calibri"/>
                <w:sz w:val="20"/>
                <w:szCs w:val="20"/>
                <w:lang w:eastAsia="nl-NL"/>
              </w:rPr>
              <w:t>hocbericht</w:t>
            </w:r>
            <w:proofErr w:type="spellEnd"/>
            <w:r w:rsidRPr="00617F4A">
              <w:rPr>
                <w:rFonts w:ascii="Calibri" w:eastAsia="Times New Roman" w:hAnsi="Calibri" w:cs="Calibri"/>
                <w:sz w:val="20"/>
                <w:szCs w:val="20"/>
                <w:lang w:eastAsia="nl-NL"/>
              </w:rPr>
              <w:t>. </w:t>
            </w:r>
          </w:p>
        </w:tc>
      </w:tr>
      <w:tr w:rsidR="00354D96" w:rsidRPr="00617F4A" w:rsidTr="006115E3">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354D96" w:rsidRPr="00617F4A" w:rsidRDefault="00354D96" w:rsidP="006115E3">
            <w:pPr>
              <w:rPr>
                <w:rFonts w:ascii="Times New Roman" w:eastAsia="Times New Roman" w:hAnsi="Times New Roman" w:cs="Times New Roman"/>
                <w:lang w:eastAsia="nl-NL"/>
              </w:rPr>
            </w:pPr>
          </w:p>
        </w:tc>
        <w:tc>
          <w:tcPr>
            <w:tcW w:w="169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Autorisatie verzender  </w:t>
            </w:r>
          </w:p>
        </w:tc>
        <w:tc>
          <w:tcPr>
            <w:tcW w:w="3960"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De autorisatie van de verzendende medewerker moet worden gegarandeerd door </w:t>
            </w:r>
            <w:r>
              <w:rPr>
                <w:rFonts w:ascii="Calibri" w:eastAsia="Times New Roman" w:hAnsi="Calibri" w:cs="Calibri"/>
                <w:sz w:val="20"/>
                <w:szCs w:val="20"/>
                <w:lang w:eastAsia="nl-NL"/>
              </w:rPr>
              <w:t>[ORGANISATIE]</w:t>
            </w:r>
            <w:r w:rsidRPr="00617F4A">
              <w:rPr>
                <w:rFonts w:ascii="Calibri" w:eastAsia="Times New Roman" w:hAnsi="Calibri" w:cs="Calibri"/>
                <w:sz w:val="20"/>
                <w:szCs w:val="20"/>
                <w:lang w:eastAsia="nl-NL"/>
              </w:rPr>
              <w:t>.  </w:t>
            </w:r>
          </w:p>
        </w:tc>
        <w:tc>
          <w:tcPr>
            <w:tcW w:w="310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Medewerkers worden geautoriseerd volgens interne procedures. </w:t>
            </w:r>
          </w:p>
        </w:tc>
      </w:tr>
      <w:tr w:rsidR="00354D96" w:rsidRPr="00617F4A" w:rsidTr="006115E3">
        <w:tc>
          <w:tcPr>
            <w:tcW w:w="840" w:type="dxa"/>
            <w:vMerge w:val="restart"/>
            <w:tcBorders>
              <w:top w:val="nil"/>
              <w:left w:val="single" w:sz="6" w:space="0" w:color="000000"/>
              <w:bottom w:val="single" w:sz="6" w:space="0" w:color="000000"/>
              <w:right w:val="single" w:sz="6" w:space="0" w:color="000000"/>
            </w:tcBorders>
            <w:shd w:val="clear" w:color="auto" w:fill="auto"/>
            <w:hideMark/>
          </w:tcPr>
          <w:p w:rsidR="00354D96" w:rsidRPr="00617F4A" w:rsidRDefault="00354D96" w:rsidP="006115E3">
            <w:pPr>
              <w:ind w:left="105" w:right="105"/>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lastRenderedPageBreak/>
              <w:t>VERTROUWELIJKHEID </w:t>
            </w:r>
          </w:p>
        </w:tc>
        <w:tc>
          <w:tcPr>
            <w:tcW w:w="169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Gegevens-vertrouwelijkheid  </w:t>
            </w:r>
          </w:p>
        </w:tc>
        <w:tc>
          <w:tcPr>
            <w:tcW w:w="3960"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Toegang tot opgeslagen berichten is verboden voor onbevoegden, berichten moeten worden versleuteld. </w:t>
            </w:r>
          </w:p>
        </w:tc>
        <w:tc>
          <w:tcPr>
            <w:tcW w:w="310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Met deze eis wordt de vertrouwelijkheid gewaarborgd. Deze eis geldt niet leveranciers voor leveranciers met wie een overeenkomst is afgesloten. </w:t>
            </w:r>
          </w:p>
        </w:tc>
      </w:tr>
      <w:tr w:rsidR="00354D96" w:rsidRPr="00617F4A" w:rsidTr="006115E3">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354D96" w:rsidRPr="00617F4A" w:rsidRDefault="00354D96" w:rsidP="006115E3">
            <w:pPr>
              <w:rPr>
                <w:rFonts w:ascii="Times New Roman" w:eastAsia="Times New Roman" w:hAnsi="Times New Roman" w:cs="Times New Roman"/>
                <w:lang w:eastAsia="nl-NL"/>
              </w:rPr>
            </w:pPr>
          </w:p>
        </w:tc>
        <w:tc>
          <w:tcPr>
            <w:tcW w:w="169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Toegangs-vertrouwelijkheid </w:t>
            </w:r>
          </w:p>
        </w:tc>
        <w:tc>
          <w:tcPr>
            <w:tcW w:w="3960"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Voor toegang tot ad-</w:t>
            </w:r>
            <w:proofErr w:type="spellStart"/>
            <w:r w:rsidRPr="00617F4A">
              <w:rPr>
                <w:rFonts w:ascii="Calibri" w:eastAsia="Times New Roman" w:hAnsi="Calibri" w:cs="Calibri"/>
                <w:sz w:val="20"/>
                <w:szCs w:val="20"/>
                <w:lang w:eastAsia="nl-NL"/>
              </w:rPr>
              <w:t>hocberichten</w:t>
            </w:r>
            <w:proofErr w:type="spellEnd"/>
            <w:r w:rsidRPr="00617F4A">
              <w:rPr>
                <w:rFonts w:ascii="Calibri" w:eastAsia="Times New Roman" w:hAnsi="Calibri" w:cs="Calibri"/>
                <w:sz w:val="20"/>
                <w:szCs w:val="20"/>
                <w:lang w:eastAsia="nl-NL"/>
              </w:rPr>
              <w:t> geldt een minimale eis van 2-factorauthenticatie. </w:t>
            </w:r>
          </w:p>
        </w:tc>
        <w:tc>
          <w:tcPr>
            <w:tcW w:w="310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 xml:space="preserve">Vertrouwelijkheid wordt gegarandeerd door een betrouwbare autorisatie die past bij de verzonden gegevens. De eis kan worden geborgd op basis van </w:t>
            </w:r>
            <w:r>
              <w:rPr>
                <w:rFonts w:ascii="Calibri" w:eastAsia="Times New Roman" w:hAnsi="Calibri" w:cs="Calibri"/>
                <w:sz w:val="20"/>
                <w:szCs w:val="20"/>
                <w:lang w:eastAsia="nl-NL"/>
              </w:rPr>
              <w:t xml:space="preserve">[ONDERBOUWING – </w:t>
            </w:r>
            <w:r w:rsidRPr="00354D96">
              <w:rPr>
                <w:rFonts w:ascii="Calibri" w:eastAsia="Times New Roman" w:hAnsi="Calibri" w:cs="Calibri"/>
                <w:i/>
                <w:sz w:val="20"/>
                <w:szCs w:val="20"/>
                <w:lang w:eastAsia="nl-NL"/>
              </w:rPr>
              <w:t xml:space="preserve">bijv. Single </w:t>
            </w:r>
            <w:proofErr w:type="spellStart"/>
            <w:r w:rsidRPr="00354D96">
              <w:rPr>
                <w:rFonts w:ascii="Calibri" w:eastAsia="Times New Roman" w:hAnsi="Calibri" w:cs="Calibri"/>
                <w:i/>
                <w:sz w:val="20"/>
                <w:szCs w:val="20"/>
                <w:lang w:eastAsia="nl-NL"/>
              </w:rPr>
              <w:t>Sign</w:t>
            </w:r>
            <w:proofErr w:type="spellEnd"/>
            <w:r w:rsidRPr="00354D96">
              <w:rPr>
                <w:rFonts w:ascii="Calibri" w:eastAsia="Times New Roman" w:hAnsi="Calibri" w:cs="Calibri"/>
                <w:i/>
                <w:sz w:val="20"/>
                <w:szCs w:val="20"/>
                <w:lang w:eastAsia="nl-NL"/>
              </w:rPr>
              <w:t xml:space="preserve"> On </w:t>
            </w:r>
            <w:r>
              <w:rPr>
                <w:rFonts w:ascii="Calibri" w:eastAsia="Times New Roman" w:hAnsi="Calibri" w:cs="Calibri"/>
                <w:i/>
                <w:sz w:val="20"/>
                <w:szCs w:val="20"/>
                <w:lang w:eastAsia="nl-NL"/>
              </w:rPr>
              <w:t>via</w:t>
            </w:r>
            <w:r w:rsidRPr="00354D96">
              <w:rPr>
                <w:rFonts w:ascii="Calibri" w:eastAsia="Times New Roman" w:hAnsi="Calibri" w:cs="Calibri"/>
                <w:i/>
                <w:sz w:val="20"/>
                <w:szCs w:val="20"/>
                <w:lang w:eastAsia="nl-NL"/>
              </w:rPr>
              <w:t xml:space="preserve"> Active Directory met 2FA]</w:t>
            </w:r>
            <w:r>
              <w:rPr>
                <w:rFonts w:ascii="Calibri" w:eastAsia="Times New Roman" w:hAnsi="Calibri" w:cs="Calibri"/>
                <w:sz w:val="20"/>
                <w:szCs w:val="20"/>
                <w:lang w:eastAsia="nl-NL"/>
              </w:rPr>
              <w:t>.</w:t>
            </w:r>
          </w:p>
        </w:tc>
      </w:tr>
      <w:tr w:rsidR="00354D96" w:rsidRPr="00617F4A" w:rsidTr="006115E3">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354D96" w:rsidRPr="00617F4A" w:rsidRDefault="00354D96" w:rsidP="006115E3">
            <w:pPr>
              <w:rPr>
                <w:rFonts w:ascii="Times New Roman" w:eastAsia="Times New Roman" w:hAnsi="Times New Roman" w:cs="Times New Roman"/>
                <w:lang w:eastAsia="nl-NL"/>
              </w:rPr>
            </w:pPr>
          </w:p>
        </w:tc>
        <w:tc>
          <w:tcPr>
            <w:tcW w:w="169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Communicatie-vertrouwelijkheid  </w:t>
            </w:r>
          </w:p>
        </w:tc>
        <w:tc>
          <w:tcPr>
            <w:tcW w:w="3960"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Toegang voor onbevoegden tot berichten gedurende het transport (</w:t>
            </w:r>
            <w:r w:rsidRPr="00617F4A">
              <w:rPr>
                <w:rFonts w:ascii="Calibri" w:eastAsia="Times New Roman" w:hAnsi="Calibri" w:cs="Calibri"/>
                <w:i/>
                <w:iCs/>
                <w:sz w:val="20"/>
                <w:szCs w:val="20"/>
                <w:lang w:eastAsia="nl-NL"/>
              </w:rPr>
              <w:t>in transit</w:t>
            </w:r>
            <w:r w:rsidRPr="00617F4A">
              <w:rPr>
                <w:rFonts w:ascii="Calibri" w:eastAsia="Times New Roman" w:hAnsi="Calibri" w:cs="Calibri"/>
                <w:sz w:val="20"/>
                <w:szCs w:val="20"/>
                <w:lang w:eastAsia="nl-NL"/>
              </w:rPr>
              <w:t>) moet onmogelijk zijn. </w:t>
            </w:r>
          </w:p>
        </w:tc>
        <w:tc>
          <w:tcPr>
            <w:tcW w:w="310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Zonder deze eis is de vertrouwelijkheid niet gewaarborgd. </w:t>
            </w:r>
          </w:p>
        </w:tc>
      </w:tr>
      <w:tr w:rsidR="00354D96" w:rsidRPr="00617F4A" w:rsidTr="006115E3">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354D96" w:rsidRPr="00617F4A" w:rsidRDefault="00354D96" w:rsidP="006115E3">
            <w:pPr>
              <w:rPr>
                <w:rFonts w:ascii="Times New Roman" w:eastAsia="Times New Roman" w:hAnsi="Times New Roman" w:cs="Times New Roman"/>
                <w:lang w:eastAsia="nl-NL"/>
              </w:rPr>
            </w:pPr>
          </w:p>
        </w:tc>
        <w:tc>
          <w:tcPr>
            <w:tcW w:w="169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Verzendingsgrond </w:t>
            </w:r>
          </w:p>
        </w:tc>
        <w:tc>
          <w:tcPr>
            <w:tcW w:w="3960"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Er moet een beleid zijn met beschrijving van redenen om informatie te mogen delen (verzendingsgrond) en er moet worden gecontroleerd op de uitvoering van dat beleid. </w:t>
            </w:r>
          </w:p>
        </w:tc>
        <w:tc>
          <w:tcPr>
            <w:tcW w:w="310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De verzender bepaalt of een ontvanger gerechtigd is om het bericht te ontvangen. Het beleid van </w:t>
            </w:r>
            <w:r>
              <w:rPr>
                <w:rFonts w:ascii="Calibri" w:eastAsia="Times New Roman" w:hAnsi="Calibri" w:cs="Calibri"/>
                <w:sz w:val="20"/>
                <w:szCs w:val="20"/>
                <w:lang w:eastAsia="nl-NL"/>
              </w:rPr>
              <w:t>[ORGANISATIE]</w:t>
            </w:r>
            <w:r w:rsidRPr="00617F4A">
              <w:rPr>
                <w:rFonts w:ascii="Calibri" w:eastAsia="Times New Roman" w:hAnsi="Calibri" w:cs="Calibri"/>
                <w:sz w:val="20"/>
                <w:szCs w:val="20"/>
                <w:lang w:eastAsia="nl-NL"/>
              </w:rPr>
              <w:t xml:space="preserve"> is dat medewerkers zijn gebonden aan geheimhouding, maar gegevens mogen delen als dat nodig is om de zorg voor cliënt</w:t>
            </w:r>
            <w:r>
              <w:rPr>
                <w:rFonts w:ascii="Calibri" w:eastAsia="Times New Roman" w:hAnsi="Calibri" w:cs="Calibri"/>
                <w:sz w:val="20"/>
                <w:szCs w:val="20"/>
                <w:lang w:eastAsia="nl-NL"/>
              </w:rPr>
              <w:t xml:space="preserve">en of patiënten </w:t>
            </w:r>
            <w:r w:rsidRPr="00617F4A">
              <w:rPr>
                <w:rFonts w:ascii="Calibri" w:eastAsia="Times New Roman" w:hAnsi="Calibri" w:cs="Calibri"/>
                <w:sz w:val="20"/>
                <w:szCs w:val="20"/>
                <w:lang w:eastAsia="nl-NL"/>
              </w:rPr>
              <w:t>te leveren. Uiteraard alles met inachtneming van (zorg)wetten.  </w:t>
            </w:r>
          </w:p>
        </w:tc>
      </w:tr>
      <w:tr w:rsidR="00354D96" w:rsidRPr="00617F4A" w:rsidTr="006115E3">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354D96" w:rsidRPr="00617F4A" w:rsidRDefault="00354D96" w:rsidP="006115E3">
            <w:pPr>
              <w:rPr>
                <w:rFonts w:ascii="Times New Roman" w:eastAsia="Times New Roman" w:hAnsi="Times New Roman" w:cs="Times New Roman"/>
                <w:lang w:eastAsia="nl-NL"/>
              </w:rPr>
            </w:pPr>
          </w:p>
        </w:tc>
        <w:tc>
          <w:tcPr>
            <w:tcW w:w="169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Internationaal ad‐</w:t>
            </w:r>
            <w:proofErr w:type="spellStart"/>
            <w:r w:rsidRPr="00617F4A">
              <w:rPr>
                <w:rFonts w:ascii="Calibri" w:eastAsia="Times New Roman" w:hAnsi="Calibri" w:cs="Calibri"/>
                <w:sz w:val="20"/>
                <w:szCs w:val="20"/>
                <w:lang w:eastAsia="nl-NL"/>
              </w:rPr>
              <w:t>hocberichten</w:t>
            </w:r>
            <w:proofErr w:type="spellEnd"/>
            <w:r w:rsidRPr="00617F4A">
              <w:rPr>
                <w:rFonts w:ascii="Calibri" w:eastAsia="Times New Roman" w:hAnsi="Calibri" w:cs="Calibri"/>
                <w:sz w:val="20"/>
                <w:szCs w:val="20"/>
                <w:lang w:eastAsia="nl-NL"/>
              </w:rPr>
              <w:t>-verkeer </w:t>
            </w:r>
          </w:p>
        </w:tc>
        <w:tc>
          <w:tcPr>
            <w:tcW w:w="3960"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Verwerking buiten de Europese Economische Ruimte (EER) mag alleen conform regels AVG. </w:t>
            </w:r>
          </w:p>
        </w:tc>
        <w:tc>
          <w:tcPr>
            <w:tcW w:w="310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Wettelijke regels gelden ook voor </w:t>
            </w:r>
            <w:r>
              <w:rPr>
                <w:rFonts w:ascii="Calibri" w:eastAsia="Times New Roman" w:hAnsi="Calibri" w:cs="Calibri"/>
                <w:sz w:val="20"/>
                <w:szCs w:val="20"/>
                <w:lang w:eastAsia="nl-NL"/>
              </w:rPr>
              <w:t>[ORGANISATIE]</w:t>
            </w:r>
            <w:r w:rsidRPr="00617F4A">
              <w:rPr>
                <w:rFonts w:ascii="Calibri" w:eastAsia="Times New Roman" w:hAnsi="Calibri" w:cs="Calibri"/>
                <w:sz w:val="20"/>
                <w:szCs w:val="20"/>
                <w:lang w:eastAsia="nl-NL"/>
              </w:rPr>
              <w:t>. </w:t>
            </w:r>
          </w:p>
        </w:tc>
      </w:tr>
      <w:tr w:rsidR="00354D96" w:rsidRPr="00617F4A" w:rsidTr="006115E3">
        <w:tc>
          <w:tcPr>
            <w:tcW w:w="840" w:type="dxa"/>
            <w:vMerge w:val="restart"/>
            <w:tcBorders>
              <w:top w:val="nil"/>
              <w:left w:val="single" w:sz="6" w:space="0" w:color="000000"/>
              <w:bottom w:val="single" w:sz="6" w:space="0" w:color="000000"/>
              <w:right w:val="single" w:sz="6" w:space="0" w:color="000000"/>
            </w:tcBorders>
            <w:shd w:val="clear" w:color="auto" w:fill="auto"/>
            <w:hideMark/>
          </w:tcPr>
          <w:p w:rsidR="00354D96" w:rsidRPr="00617F4A" w:rsidRDefault="00354D96" w:rsidP="006115E3">
            <w:pPr>
              <w:ind w:left="105" w:right="105"/>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GEBRUIKSVRIENDELIJKHEID </w:t>
            </w:r>
          </w:p>
        </w:tc>
        <w:tc>
          <w:tcPr>
            <w:tcW w:w="169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proofErr w:type="spellStart"/>
            <w:r w:rsidRPr="00617F4A">
              <w:rPr>
                <w:rFonts w:ascii="Calibri" w:eastAsia="Times New Roman" w:hAnsi="Calibri" w:cs="Calibri"/>
                <w:sz w:val="20"/>
                <w:szCs w:val="20"/>
                <w:lang w:eastAsia="nl-NL"/>
              </w:rPr>
              <w:t>Continuïteit</w:t>
            </w:r>
            <w:proofErr w:type="spellEnd"/>
            <w:r w:rsidRPr="00617F4A">
              <w:rPr>
                <w:rFonts w:ascii="Calibri" w:eastAsia="Times New Roman" w:hAnsi="Calibri" w:cs="Calibri"/>
                <w:sz w:val="20"/>
                <w:szCs w:val="20"/>
                <w:lang w:eastAsia="nl-NL"/>
              </w:rPr>
              <w:t> van ad‐</w:t>
            </w:r>
            <w:proofErr w:type="spellStart"/>
            <w:r w:rsidRPr="00617F4A">
              <w:rPr>
                <w:rFonts w:ascii="Calibri" w:eastAsia="Times New Roman" w:hAnsi="Calibri" w:cs="Calibri"/>
                <w:sz w:val="20"/>
                <w:szCs w:val="20"/>
                <w:lang w:eastAsia="nl-NL"/>
              </w:rPr>
              <w:t>hocberichten</w:t>
            </w:r>
            <w:proofErr w:type="spellEnd"/>
            <w:r w:rsidRPr="00617F4A">
              <w:rPr>
                <w:rFonts w:ascii="Calibri" w:eastAsia="Times New Roman" w:hAnsi="Calibri" w:cs="Calibri"/>
                <w:sz w:val="20"/>
                <w:szCs w:val="20"/>
                <w:lang w:eastAsia="nl-NL"/>
              </w:rPr>
              <w:t>-verkeer – beantwoorden  </w:t>
            </w:r>
          </w:p>
        </w:tc>
        <w:tc>
          <w:tcPr>
            <w:tcW w:w="3960"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Een ontvanger moet visueel kunnen zien of een bericht veilig is verzonden. </w:t>
            </w:r>
          </w:p>
        </w:tc>
        <w:tc>
          <w:tcPr>
            <w:tcW w:w="310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Deze eis stelt de ontvanger in de gelegenheid om via een veilige weg te reageren op het bericht. </w:t>
            </w:r>
          </w:p>
        </w:tc>
      </w:tr>
      <w:tr w:rsidR="00354D96" w:rsidRPr="00617F4A" w:rsidTr="006115E3">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354D96" w:rsidRPr="00617F4A" w:rsidRDefault="00354D96" w:rsidP="006115E3">
            <w:pPr>
              <w:rPr>
                <w:rFonts w:ascii="Times New Roman" w:eastAsia="Times New Roman" w:hAnsi="Times New Roman" w:cs="Times New Roman"/>
                <w:lang w:eastAsia="nl-NL"/>
              </w:rPr>
            </w:pPr>
          </w:p>
        </w:tc>
        <w:tc>
          <w:tcPr>
            <w:tcW w:w="169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proofErr w:type="spellStart"/>
            <w:r w:rsidRPr="00617F4A">
              <w:rPr>
                <w:rFonts w:ascii="Calibri" w:eastAsia="Times New Roman" w:hAnsi="Calibri" w:cs="Calibri"/>
                <w:sz w:val="20"/>
                <w:szCs w:val="20"/>
                <w:lang w:eastAsia="nl-NL"/>
              </w:rPr>
              <w:t>Continuïteit</w:t>
            </w:r>
            <w:proofErr w:type="spellEnd"/>
            <w:r w:rsidRPr="00617F4A">
              <w:rPr>
                <w:rFonts w:ascii="Calibri" w:eastAsia="Times New Roman" w:hAnsi="Calibri" w:cs="Calibri"/>
                <w:sz w:val="20"/>
                <w:szCs w:val="20"/>
                <w:lang w:eastAsia="nl-NL"/>
              </w:rPr>
              <w:t> van ad‐</w:t>
            </w:r>
            <w:proofErr w:type="spellStart"/>
            <w:r w:rsidRPr="00617F4A">
              <w:rPr>
                <w:rFonts w:ascii="Calibri" w:eastAsia="Times New Roman" w:hAnsi="Calibri" w:cs="Calibri"/>
                <w:sz w:val="20"/>
                <w:szCs w:val="20"/>
                <w:lang w:eastAsia="nl-NL"/>
              </w:rPr>
              <w:t>hocberichten</w:t>
            </w:r>
            <w:proofErr w:type="spellEnd"/>
            <w:r w:rsidRPr="00617F4A">
              <w:rPr>
                <w:rFonts w:ascii="Calibri" w:eastAsia="Times New Roman" w:hAnsi="Calibri" w:cs="Calibri"/>
                <w:sz w:val="20"/>
                <w:szCs w:val="20"/>
                <w:lang w:eastAsia="nl-NL"/>
              </w:rPr>
              <w:t>-verkeer – doorsturen </w:t>
            </w:r>
          </w:p>
        </w:tc>
        <w:tc>
          <w:tcPr>
            <w:tcW w:w="3960"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De ontvanger van een bericht is zelf verantwoordelijk voor veilige verzending als deze een bericht doorstuurt. (Dit is strikt genomen geen grens, zo erkent NTA 7516.) </w:t>
            </w:r>
          </w:p>
        </w:tc>
        <w:tc>
          <w:tcPr>
            <w:tcW w:w="310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 xml:space="preserve">Als doorsturen niet veilig kan, moet de gebruiker hierop worden gewezen. Dit is in het bijzonder van nut als een </w:t>
            </w:r>
            <w:r>
              <w:rPr>
                <w:rFonts w:ascii="Calibri" w:eastAsia="Times New Roman" w:hAnsi="Calibri" w:cs="Calibri"/>
                <w:sz w:val="20"/>
                <w:szCs w:val="20"/>
                <w:lang w:eastAsia="nl-NL"/>
              </w:rPr>
              <w:t>cliënt of patiënt</w:t>
            </w:r>
            <w:r w:rsidRPr="00617F4A">
              <w:rPr>
                <w:rFonts w:ascii="Calibri" w:eastAsia="Times New Roman" w:hAnsi="Calibri" w:cs="Calibri"/>
                <w:sz w:val="20"/>
                <w:szCs w:val="20"/>
                <w:lang w:eastAsia="nl-NL"/>
              </w:rPr>
              <w:t xml:space="preserve"> een veilig ontvangen bericht van </w:t>
            </w:r>
            <w:r>
              <w:rPr>
                <w:rFonts w:ascii="Calibri" w:eastAsia="Times New Roman" w:hAnsi="Calibri" w:cs="Calibri"/>
                <w:sz w:val="20"/>
                <w:szCs w:val="20"/>
                <w:lang w:eastAsia="nl-NL"/>
              </w:rPr>
              <w:t>[ORGANISATIE]</w:t>
            </w:r>
            <w:r w:rsidRPr="00617F4A">
              <w:rPr>
                <w:rFonts w:ascii="Calibri" w:eastAsia="Times New Roman" w:hAnsi="Calibri" w:cs="Calibri"/>
                <w:sz w:val="20"/>
                <w:szCs w:val="20"/>
                <w:lang w:eastAsia="nl-NL"/>
              </w:rPr>
              <w:t xml:space="preserve"> wil doorsturen naar een naaste. </w:t>
            </w:r>
          </w:p>
        </w:tc>
      </w:tr>
      <w:tr w:rsidR="00354D96" w:rsidRPr="00617F4A" w:rsidTr="006115E3">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354D96" w:rsidRPr="00617F4A" w:rsidRDefault="00354D96" w:rsidP="006115E3">
            <w:pPr>
              <w:rPr>
                <w:rFonts w:ascii="Times New Roman" w:eastAsia="Times New Roman" w:hAnsi="Times New Roman" w:cs="Times New Roman"/>
                <w:lang w:eastAsia="nl-NL"/>
              </w:rPr>
            </w:pPr>
          </w:p>
        </w:tc>
        <w:tc>
          <w:tcPr>
            <w:tcW w:w="169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Veiligheid als gemak </w:t>
            </w:r>
          </w:p>
        </w:tc>
        <w:tc>
          <w:tcPr>
            <w:tcW w:w="3960"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Instellingen moeten standaard op veilig staan. </w:t>
            </w:r>
          </w:p>
        </w:tc>
        <w:tc>
          <w:tcPr>
            <w:tcW w:w="310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Deze eis is een implementatie van het principe ‘security </w:t>
            </w:r>
            <w:proofErr w:type="spellStart"/>
            <w:r w:rsidRPr="00617F4A">
              <w:rPr>
                <w:rFonts w:ascii="Calibri" w:eastAsia="Times New Roman" w:hAnsi="Calibri" w:cs="Calibri"/>
                <w:sz w:val="20"/>
                <w:szCs w:val="20"/>
                <w:lang w:eastAsia="nl-NL"/>
              </w:rPr>
              <w:t>by</w:t>
            </w:r>
            <w:proofErr w:type="spellEnd"/>
            <w:r w:rsidRPr="00617F4A">
              <w:rPr>
                <w:rFonts w:ascii="Calibri" w:eastAsia="Times New Roman" w:hAnsi="Calibri" w:cs="Calibri"/>
                <w:sz w:val="20"/>
                <w:szCs w:val="20"/>
                <w:lang w:eastAsia="nl-NL"/>
              </w:rPr>
              <w:t> default’. </w:t>
            </w:r>
          </w:p>
        </w:tc>
      </w:tr>
      <w:tr w:rsidR="00354D96" w:rsidRPr="00617F4A" w:rsidTr="006115E3">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354D96" w:rsidRPr="00617F4A" w:rsidRDefault="00354D96" w:rsidP="006115E3">
            <w:pPr>
              <w:rPr>
                <w:rFonts w:ascii="Times New Roman" w:eastAsia="Times New Roman" w:hAnsi="Times New Roman" w:cs="Times New Roman"/>
                <w:lang w:eastAsia="nl-NL"/>
              </w:rPr>
            </w:pPr>
          </w:p>
        </w:tc>
        <w:tc>
          <w:tcPr>
            <w:tcW w:w="169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Leesbaarheid </w:t>
            </w:r>
          </w:p>
        </w:tc>
        <w:tc>
          <w:tcPr>
            <w:tcW w:w="3960"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De inhoud van berichten (zonder bijlagen) moet zonder aanvullende software of het maken van een account zichtbaar zijn voor de ontvanger. Als een persoon de informatie ontvangt, dan moet de online omgeving voldoen aan de eisen voor digitale toegankelijkheid (EN 301 549). </w:t>
            </w:r>
          </w:p>
        </w:tc>
        <w:tc>
          <w:tcPr>
            <w:tcW w:w="310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Het moet voor ontvangers niet nodig zijn om ergens een account aan te maken. Dit verlaagt de drempel om het bericht te openen. De omgeving moet ook leesbaar zijn voor mensen met een visuele beperking. </w:t>
            </w:r>
          </w:p>
        </w:tc>
      </w:tr>
      <w:tr w:rsidR="00354D96" w:rsidRPr="00617F4A" w:rsidTr="006115E3">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354D96" w:rsidRPr="00617F4A" w:rsidRDefault="00354D96" w:rsidP="006115E3">
            <w:pPr>
              <w:rPr>
                <w:rFonts w:ascii="Times New Roman" w:eastAsia="Times New Roman" w:hAnsi="Times New Roman" w:cs="Times New Roman"/>
                <w:lang w:eastAsia="nl-NL"/>
              </w:rPr>
            </w:pPr>
          </w:p>
        </w:tc>
        <w:tc>
          <w:tcPr>
            <w:tcW w:w="169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Eigen kopie </w:t>
            </w:r>
          </w:p>
        </w:tc>
        <w:tc>
          <w:tcPr>
            <w:tcW w:w="3960"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Het moet makkelijk zijn voor de ontvanger om een eigen kopie op te slaan. </w:t>
            </w:r>
          </w:p>
        </w:tc>
        <w:tc>
          <w:tcPr>
            <w:tcW w:w="310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De ontvanger van een ad-</w:t>
            </w:r>
            <w:proofErr w:type="spellStart"/>
            <w:r w:rsidRPr="00617F4A">
              <w:rPr>
                <w:rFonts w:ascii="Calibri" w:eastAsia="Times New Roman" w:hAnsi="Calibri" w:cs="Calibri"/>
                <w:sz w:val="20"/>
                <w:szCs w:val="20"/>
                <w:lang w:eastAsia="nl-NL"/>
              </w:rPr>
              <w:t>hocbericht</w:t>
            </w:r>
            <w:proofErr w:type="spellEnd"/>
            <w:r w:rsidRPr="00617F4A">
              <w:rPr>
                <w:rFonts w:ascii="Calibri" w:eastAsia="Times New Roman" w:hAnsi="Calibri" w:cs="Calibri"/>
                <w:sz w:val="20"/>
                <w:szCs w:val="20"/>
                <w:lang w:eastAsia="nl-NL"/>
              </w:rPr>
              <w:t> moet het veilig en eenvoudig kunnen opslaan op een zelfgekozen locatie.  </w:t>
            </w:r>
          </w:p>
        </w:tc>
      </w:tr>
      <w:tr w:rsidR="00354D96" w:rsidRPr="00617F4A" w:rsidTr="006115E3">
        <w:trPr>
          <w:trHeight w:val="1125"/>
        </w:trPr>
        <w:tc>
          <w:tcPr>
            <w:tcW w:w="840" w:type="dxa"/>
            <w:tcBorders>
              <w:top w:val="nil"/>
              <w:left w:val="single" w:sz="6" w:space="0" w:color="000000"/>
              <w:bottom w:val="single" w:sz="6" w:space="0" w:color="000000"/>
              <w:right w:val="single" w:sz="6" w:space="0" w:color="000000"/>
            </w:tcBorders>
            <w:shd w:val="clear" w:color="auto" w:fill="auto"/>
            <w:hideMark/>
          </w:tcPr>
          <w:p w:rsidR="00354D96" w:rsidRPr="00617F4A" w:rsidRDefault="00354D96" w:rsidP="006115E3">
            <w:pPr>
              <w:ind w:left="105" w:right="105"/>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INTEROPERABILITEIT </w:t>
            </w:r>
          </w:p>
        </w:tc>
        <w:tc>
          <w:tcPr>
            <w:tcW w:w="169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Dossierkoppeling  </w:t>
            </w:r>
          </w:p>
        </w:tc>
        <w:tc>
          <w:tcPr>
            <w:tcW w:w="3960"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De volgende eis wordt </w:t>
            </w:r>
            <w:r w:rsidRPr="00617F4A">
              <w:rPr>
                <w:rFonts w:ascii="Calibri" w:eastAsia="Times New Roman" w:hAnsi="Calibri" w:cs="Calibri"/>
                <w:sz w:val="20"/>
                <w:szCs w:val="20"/>
                <w:u w:val="single"/>
                <w:lang w:eastAsia="nl-NL"/>
              </w:rPr>
              <w:t>niet</w:t>
            </w:r>
            <w:r w:rsidRPr="00617F4A">
              <w:rPr>
                <w:rFonts w:ascii="Calibri" w:eastAsia="Times New Roman" w:hAnsi="Calibri" w:cs="Calibri"/>
                <w:sz w:val="20"/>
                <w:szCs w:val="20"/>
                <w:lang w:eastAsia="nl-NL"/>
              </w:rPr>
              <w:t> van toepassing verklaard voor </w:t>
            </w:r>
            <w:r>
              <w:rPr>
                <w:rFonts w:ascii="Calibri" w:eastAsia="Times New Roman" w:hAnsi="Calibri" w:cs="Calibri"/>
                <w:sz w:val="20"/>
                <w:szCs w:val="20"/>
                <w:lang w:eastAsia="nl-NL"/>
              </w:rPr>
              <w:t>[ORGANISATIE]</w:t>
            </w:r>
            <w:r w:rsidRPr="00617F4A">
              <w:rPr>
                <w:rFonts w:ascii="Calibri" w:eastAsia="Times New Roman" w:hAnsi="Calibri" w:cs="Calibri"/>
                <w:sz w:val="20"/>
                <w:szCs w:val="20"/>
                <w:lang w:eastAsia="nl-NL"/>
              </w:rPr>
              <w:t>, omdat het volgens NTA 7516 niet verplicht is: </w:t>
            </w:r>
            <w:r w:rsidRPr="00617F4A">
              <w:rPr>
                <w:rFonts w:ascii="Calibri" w:eastAsia="Times New Roman" w:hAnsi="Calibri" w:cs="Calibri"/>
                <w:i/>
                <w:iCs/>
                <w:sz w:val="20"/>
                <w:szCs w:val="20"/>
                <w:lang w:eastAsia="nl-NL"/>
              </w:rPr>
              <w:t>Het bericht moet makkelijk en veilig gekoppeld kunnen worden door de ontvanger en aan het juiste dossier.</w:t>
            </w:r>
            <w:r w:rsidRPr="00617F4A">
              <w:rPr>
                <w:rFonts w:ascii="Calibri" w:eastAsia="Times New Roman" w:hAnsi="Calibri" w:cs="Calibri"/>
                <w:sz w:val="20"/>
                <w:szCs w:val="20"/>
                <w:lang w:eastAsia="nl-NL"/>
              </w:rPr>
              <w:t> </w:t>
            </w:r>
          </w:p>
        </w:tc>
        <w:tc>
          <w:tcPr>
            <w:tcW w:w="3105" w:type="dxa"/>
            <w:tcBorders>
              <w:top w:val="nil"/>
              <w:left w:val="nil"/>
              <w:bottom w:val="single" w:sz="6" w:space="0" w:color="000000"/>
              <w:right w:val="single" w:sz="6" w:space="0" w:color="000000"/>
            </w:tcBorders>
            <w:shd w:val="clear" w:color="auto" w:fill="auto"/>
            <w:hideMark/>
          </w:tcPr>
          <w:p w:rsidR="00354D96" w:rsidRPr="00617F4A" w:rsidRDefault="00354D96" w:rsidP="006115E3">
            <w:pPr>
              <w:textAlignment w:val="baseline"/>
              <w:rPr>
                <w:rFonts w:ascii="Times New Roman" w:eastAsia="Times New Roman" w:hAnsi="Times New Roman" w:cs="Times New Roman"/>
                <w:lang w:eastAsia="nl-NL"/>
              </w:rPr>
            </w:pPr>
            <w:r w:rsidRPr="00617F4A">
              <w:rPr>
                <w:rFonts w:ascii="Calibri" w:eastAsia="Times New Roman" w:hAnsi="Calibri" w:cs="Calibri"/>
                <w:sz w:val="20"/>
                <w:szCs w:val="20"/>
                <w:lang w:eastAsia="nl-NL"/>
              </w:rPr>
              <w:t>n.v.t. </w:t>
            </w:r>
          </w:p>
        </w:tc>
      </w:tr>
    </w:tbl>
    <w:p w:rsidR="00354D96" w:rsidRPr="00617F4A" w:rsidRDefault="00354D96" w:rsidP="00354D96">
      <w:pPr>
        <w:textAlignment w:val="baseline"/>
        <w:rPr>
          <w:rFonts w:ascii="Arial" w:eastAsia="Times New Roman" w:hAnsi="Arial" w:cs="Arial"/>
          <w:sz w:val="18"/>
          <w:szCs w:val="18"/>
          <w:lang w:eastAsia="nl-NL"/>
        </w:rPr>
      </w:pPr>
      <w:r w:rsidRPr="00617F4A">
        <w:rPr>
          <w:rFonts w:ascii="Calibri" w:eastAsia="Times New Roman" w:hAnsi="Calibri" w:cs="Calibri"/>
          <w:szCs w:val="22"/>
          <w:lang w:eastAsia="nl-NL"/>
        </w:rPr>
        <w:t> </w:t>
      </w:r>
    </w:p>
    <w:p w:rsidR="00354D96" w:rsidRPr="00617F4A" w:rsidRDefault="00354D96" w:rsidP="00354D96">
      <w:pPr>
        <w:textAlignment w:val="baseline"/>
        <w:rPr>
          <w:rFonts w:ascii="Arial" w:eastAsia="Times New Roman" w:hAnsi="Arial" w:cs="Arial"/>
          <w:sz w:val="18"/>
          <w:szCs w:val="18"/>
          <w:lang w:eastAsia="nl-NL"/>
        </w:rPr>
      </w:pPr>
      <w:r>
        <w:rPr>
          <w:rFonts w:ascii="Calibri" w:eastAsia="Times New Roman" w:hAnsi="Calibri" w:cs="Calibri"/>
          <w:szCs w:val="22"/>
          <w:lang w:eastAsia="nl-NL"/>
        </w:rPr>
        <w:t>[ORGANISATIE]</w:t>
      </w:r>
      <w:r w:rsidRPr="00617F4A">
        <w:rPr>
          <w:rFonts w:ascii="Calibri" w:eastAsia="Times New Roman" w:hAnsi="Calibri" w:cs="Calibri"/>
          <w:szCs w:val="22"/>
          <w:lang w:eastAsia="nl-NL"/>
        </w:rPr>
        <w:t xml:space="preserve"> heeft regels vastgesteld (beleid) over hoe medewerkers gebruik mogen maken van geïmplementeerde communicatiemogelijkheden in </w:t>
      </w:r>
      <w:r>
        <w:rPr>
          <w:rFonts w:ascii="Calibri" w:eastAsia="Times New Roman" w:hAnsi="Calibri" w:cs="Calibri"/>
          <w:szCs w:val="22"/>
          <w:lang w:eastAsia="nl-NL"/>
        </w:rPr>
        <w:t>[BELEID]</w:t>
      </w:r>
      <w:r w:rsidRPr="00617F4A">
        <w:rPr>
          <w:rFonts w:ascii="Calibri" w:eastAsia="Times New Roman" w:hAnsi="Calibri" w:cs="Calibri"/>
          <w:szCs w:val="22"/>
          <w:lang w:eastAsia="nl-NL"/>
        </w:rPr>
        <w:t>. </w:t>
      </w:r>
    </w:p>
    <w:p w:rsidR="00354D96" w:rsidRPr="00617F4A" w:rsidRDefault="00354D96" w:rsidP="00354D96">
      <w:pPr>
        <w:textAlignment w:val="baseline"/>
        <w:rPr>
          <w:rFonts w:ascii="Arial" w:eastAsia="Times New Roman" w:hAnsi="Arial" w:cs="Arial"/>
          <w:sz w:val="18"/>
          <w:szCs w:val="18"/>
          <w:lang w:eastAsia="nl-NL"/>
        </w:rPr>
      </w:pPr>
      <w:r w:rsidRPr="00617F4A">
        <w:rPr>
          <w:rFonts w:ascii="Calibri" w:eastAsia="Times New Roman" w:hAnsi="Calibri" w:cs="Calibri"/>
          <w:szCs w:val="22"/>
          <w:lang w:eastAsia="nl-NL"/>
        </w:rPr>
        <w:t> </w:t>
      </w:r>
    </w:p>
    <w:p w:rsidR="002D572B" w:rsidRPr="00354D96" w:rsidRDefault="00354D96" w:rsidP="00354D96">
      <w:pPr>
        <w:textAlignment w:val="baseline"/>
        <w:rPr>
          <w:rFonts w:ascii="Arial" w:eastAsia="Times New Roman" w:hAnsi="Arial" w:cs="Arial"/>
          <w:sz w:val="18"/>
          <w:szCs w:val="18"/>
          <w:lang w:eastAsia="nl-NL"/>
        </w:rPr>
      </w:pPr>
      <w:r w:rsidRPr="00617F4A">
        <w:rPr>
          <w:rFonts w:ascii="Calibri" w:eastAsia="Times New Roman" w:hAnsi="Calibri" w:cs="Calibri"/>
          <w:szCs w:val="22"/>
          <w:lang w:eastAsia="nl-NL"/>
        </w:rPr>
        <w:t>De naleving van dit beleid wordt continu gemonitord door het lijnmanagement en is onderdeel van interne audits op bewustzijn. Jaarlijks worden de leveranciers van ad-</w:t>
      </w:r>
      <w:proofErr w:type="spellStart"/>
      <w:r w:rsidRPr="00617F4A">
        <w:rPr>
          <w:rFonts w:ascii="Calibri" w:eastAsia="Times New Roman" w:hAnsi="Calibri" w:cs="Calibri"/>
          <w:szCs w:val="22"/>
          <w:lang w:eastAsia="nl-NL"/>
        </w:rPr>
        <w:t>hocberichten</w:t>
      </w:r>
      <w:proofErr w:type="spellEnd"/>
      <w:r w:rsidRPr="00617F4A">
        <w:rPr>
          <w:rFonts w:ascii="Calibri" w:eastAsia="Times New Roman" w:hAnsi="Calibri" w:cs="Calibri"/>
          <w:szCs w:val="22"/>
          <w:lang w:eastAsia="nl-NL"/>
        </w:rPr>
        <w:t xml:space="preserve"> vergeleken met de criteria die </w:t>
      </w:r>
      <w:r>
        <w:rPr>
          <w:rFonts w:ascii="Calibri" w:eastAsia="Times New Roman" w:hAnsi="Calibri" w:cs="Calibri"/>
          <w:szCs w:val="22"/>
          <w:lang w:eastAsia="nl-NL"/>
        </w:rPr>
        <w:t>hierboven zijn vastgelegd</w:t>
      </w:r>
      <w:r w:rsidRPr="00617F4A">
        <w:rPr>
          <w:rFonts w:ascii="Calibri" w:eastAsia="Times New Roman" w:hAnsi="Calibri" w:cs="Calibri"/>
          <w:szCs w:val="22"/>
          <w:lang w:eastAsia="nl-NL"/>
        </w:rPr>
        <w:t>. </w:t>
      </w:r>
    </w:p>
    <w:sectPr w:rsidR="002D572B" w:rsidRPr="00354D96" w:rsidSect="00E33ACF">
      <w:headerReference w:type="default" r:id="rId7"/>
      <w:footerReference w:type="even" r:id="rId8"/>
      <w:headerReference w:type="first" r:id="rId9"/>
      <w:footerReference w:type="first" r:id="rId10"/>
      <w:pgSz w:w="11900" w:h="16840"/>
      <w:pgMar w:top="1636" w:right="1878"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1F2" w:rsidRDefault="00EE01F2" w:rsidP="00A34820">
      <w:r>
        <w:separator/>
      </w:r>
    </w:p>
  </w:endnote>
  <w:endnote w:type="continuationSeparator" w:id="0">
    <w:p w:rsidR="00EE01F2" w:rsidRDefault="00EE01F2" w:rsidP="00A3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TDem">
    <w:altName w:val="Arial"/>
    <w:panose1 w:val="020B0604020202020204"/>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973" w:rsidRDefault="00627149" w:rsidP="00C16CF3">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rsidR="008B3973" w:rsidRDefault="00EE01F2" w:rsidP="00C16C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B1C" w:rsidRDefault="00BB2B1C" w:rsidP="00BB2B1C">
    <w:pPr>
      <w:pStyle w:val="Voettekst"/>
    </w:pPr>
    <w:r>
      <w:t>Template NTA 7516</w:t>
    </w:r>
    <w:r w:rsidR="00DC05FA">
      <w:t xml:space="preserve"> v1.0</w:t>
    </w:r>
    <w:r>
      <w:t xml:space="preserve"> – vastlegging eisen door zorgorganisatie. </w:t>
    </w:r>
    <w:r>
      <w:t xml:space="preserve">Dit template mag gedeeld worden volgens </w:t>
    </w:r>
    <w:r>
      <w:t>C</w:t>
    </w:r>
    <w:r>
      <w:t xml:space="preserve">reative </w:t>
    </w:r>
    <w:proofErr w:type="spellStart"/>
    <w:r>
      <w:t>C</w:t>
    </w:r>
    <w:r>
      <w:t>ommons</w:t>
    </w:r>
    <w:proofErr w:type="spellEnd"/>
    <w:r>
      <w:t xml:space="preserve"> </w:t>
    </w:r>
    <w:r>
      <w:t xml:space="preserve">onder </w:t>
    </w:r>
    <w:r>
      <w:t xml:space="preserve">vermelding van </w:t>
    </w:r>
    <w:r>
      <w:t xml:space="preserve">ICT </w:t>
    </w:r>
    <w:proofErr w:type="spellStart"/>
    <w:r>
      <w:t>Institute</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1F2" w:rsidRDefault="00EE01F2" w:rsidP="00A34820">
      <w:r>
        <w:separator/>
      </w:r>
    </w:p>
  </w:footnote>
  <w:footnote w:type="continuationSeparator" w:id="0">
    <w:p w:rsidR="00EE01F2" w:rsidRDefault="00EE01F2" w:rsidP="00A3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973" w:rsidRDefault="00627149" w:rsidP="00C16CF3">
    <w:pPr>
      <w:pStyle w:val="Koptekst"/>
    </w:pPr>
    <w:r>
      <w:rPr>
        <w:noProof/>
        <w:lang w:eastAsia="nl-NL"/>
      </w:rPr>
      <w:drawing>
        <wp:anchor distT="0" distB="0" distL="114300" distR="114300" simplePos="0" relativeHeight="251659264" behindDoc="0" locked="0" layoutInCell="1" allowOverlap="1" wp14:anchorId="63A2C8F9" wp14:editId="7704EAF2">
          <wp:simplePos x="0" y="0"/>
          <wp:positionH relativeFrom="column">
            <wp:posOffset>3201742</wp:posOffset>
          </wp:positionH>
          <wp:positionV relativeFrom="paragraph">
            <wp:posOffset>-60113</wp:posOffset>
          </wp:positionV>
          <wp:extent cx="2595600" cy="478800"/>
          <wp:effectExtent l="0" t="0" r="0" b="3810"/>
          <wp:wrapNone/>
          <wp:docPr id="1" name="Picture 1" descr="Macintosh HD:Users:sieuwert:Dropbox:ict-institute:BusinessCa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euwert:Dropbox:ict-institute:BusinessCa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5600" cy="47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973" w:rsidRDefault="00627149" w:rsidP="00C16CF3">
    <w:pPr>
      <w:pStyle w:val="Koptekst"/>
    </w:pPr>
    <w:r>
      <w:rPr>
        <w:noProof/>
        <w:lang w:eastAsia="nl-NL"/>
      </w:rPr>
      <w:drawing>
        <wp:anchor distT="0" distB="0" distL="114300" distR="114300" simplePos="0" relativeHeight="251660288" behindDoc="0" locked="0" layoutInCell="1" allowOverlap="1" wp14:anchorId="12B634BC" wp14:editId="7311DCA5">
          <wp:simplePos x="0" y="0"/>
          <wp:positionH relativeFrom="column">
            <wp:posOffset>3201035</wp:posOffset>
          </wp:positionH>
          <wp:positionV relativeFrom="paragraph">
            <wp:posOffset>-60960</wp:posOffset>
          </wp:positionV>
          <wp:extent cx="2595600" cy="478800"/>
          <wp:effectExtent l="0" t="0" r="0" b="3810"/>
          <wp:wrapNone/>
          <wp:docPr id="5" name="Picture 1" descr="Macintosh HD:Users:sieuwert:Dropbox:ict-institute:BusinessCa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euwert:Dropbox:ict-institute:BusinessCa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5600" cy="47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22476"/>
    <w:multiLevelType w:val="multilevel"/>
    <w:tmpl w:val="7B08705C"/>
    <w:lvl w:ilvl="0">
      <w:start w:val="1"/>
      <w:numFmt w:val="bullet"/>
      <w:lvlText w:val="I"/>
      <w:lvlJc w:val="left"/>
      <w:pPr>
        <w:ind w:left="567" w:hanging="567"/>
      </w:pPr>
      <w:rPr>
        <w:rFonts w:ascii="FuturaTDem" w:hAnsi="FuturaTDem" w:hint="default"/>
        <w:b w:val="0"/>
        <w:i w:val="0"/>
        <w:color w:val="DB0327"/>
      </w:rPr>
    </w:lvl>
    <w:lvl w:ilvl="1">
      <w:start w:val="1"/>
      <w:numFmt w:val="bullet"/>
      <w:lvlText w:val="I"/>
      <w:lvlJc w:val="left"/>
      <w:pPr>
        <w:ind w:left="1134" w:hanging="567"/>
      </w:pPr>
      <w:rPr>
        <w:rFonts w:ascii="FuturaTDem" w:hAnsi="FuturaTDem" w:hint="default"/>
        <w:b w:val="0"/>
        <w:i w:val="0"/>
        <w:color w:val="44546A" w:themeColor="text2"/>
      </w:rPr>
    </w:lvl>
    <w:lvl w:ilvl="2">
      <w:start w:val="1"/>
      <w:numFmt w:val="bullet"/>
      <w:lvlText w:val="I"/>
      <w:lvlJc w:val="left"/>
      <w:pPr>
        <w:ind w:left="1701" w:hanging="567"/>
      </w:pPr>
      <w:rPr>
        <w:rFonts w:ascii="FuturaTDem" w:hAnsi="FuturaTDem" w:hint="default"/>
        <w:b w:val="0"/>
        <w:i w:val="0"/>
        <w:color w:val="E7E6E6" w:themeColor="background2"/>
      </w:rPr>
    </w:lvl>
    <w:lvl w:ilvl="3">
      <w:start w:val="1"/>
      <w:numFmt w:val="none"/>
      <w:lvlText w:val=""/>
      <w:lvlJc w:val="left"/>
      <w:pPr>
        <w:ind w:left="2268" w:hanging="567"/>
      </w:pPr>
      <w:rPr>
        <w:rFonts w:hint="default"/>
      </w:rPr>
    </w:lvl>
    <w:lvl w:ilvl="4">
      <w:start w:val="1"/>
      <w:numFmt w:val="none"/>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 w15:restartNumberingAfterBreak="0">
    <w:nsid w:val="25C232A1"/>
    <w:multiLevelType w:val="hybridMultilevel"/>
    <w:tmpl w:val="910E5328"/>
    <w:lvl w:ilvl="0" w:tplc="7CB81548">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560F7"/>
    <w:multiLevelType w:val="hybridMultilevel"/>
    <w:tmpl w:val="50344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96"/>
    <w:rsid w:val="001D2232"/>
    <w:rsid w:val="002277D2"/>
    <w:rsid w:val="002D572B"/>
    <w:rsid w:val="00354D96"/>
    <w:rsid w:val="00371875"/>
    <w:rsid w:val="003E3B99"/>
    <w:rsid w:val="00565471"/>
    <w:rsid w:val="00627149"/>
    <w:rsid w:val="0075740D"/>
    <w:rsid w:val="00952B5C"/>
    <w:rsid w:val="00972EF0"/>
    <w:rsid w:val="00A26199"/>
    <w:rsid w:val="00A34820"/>
    <w:rsid w:val="00BB2B1C"/>
    <w:rsid w:val="00CA6DA1"/>
    <w:rsid w:val="00DC05FA"/>
    <w:rsid w:val="00DF53F9"/>
    <w:rsid w:val="00EE01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B23BD63"/>
  <w15:chartTrackingRefBased/>
  <w15:docId w15:val="{619A298E-F6F6-2848-BCA6-CEBD8008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5471"/>
    <w:rPr>
      <w:rFonts w:ascii="Avenir Roman" w:eastAsiaTheme="minorEastAsia" w:hAnsi="Avenir Roman"/>
      <w:sz w:val="22"/>
    </w:rPr>
  </w:style>
  <w:style w:type="paragraph" w:styleId="Kop1">
    <w:name w:val="heading 1"/>
    <w:basedOn w:val="Standaard"/>
    <w:next w:val="Standaard"/>
    <w:link w:val="Kop1Char"/>
    <w:qFormat/>
    <w:rsid w:val="00565471"/>
    <w:pPr>
      <w:keepNext/>
      <w:keepLines/>
      <w:spacing w:before="320" w:after="40"/>
      <w:outlineLvl w:val="0"/>
    </w:pPr>
    <w:rPr>
      <w:rFonts w:eastAsiaTheme="majorEastAsia" w:cs="Times New Roman (Headings CS)"/>
      <w:b/>
      <w:bCs/>
      <w:color w:val="264A94"/>
      <w:sz w:val="32"/>
      <w:szCs w:val="32"/>
    </w:rPr>
  </w:style>
  <w:style w:type="paragraph" w:styleId="Kop2">
    <w:name w:val="heading 2"/>
    <w:basedOn w:val="Standaard"/>
    <w:next w:val="Standaard"/>
    <w:link w:val="Kop2Char"/>
    <w:unhideWhenUsed/>
    <w:qFormat/>
    <w:rsid w:val="00565471"/>
    <w:pPr>
      <w:keepNext/>
      <w:numPr>
        <w:ilvl w:val="1"/>
      </w:numPr>
      <w:tabs>
        <w:tab w:val="num" w:pos="576"/>
      </w:tabs>
      <w:spacing w:before="160" w:after="20"/>
      <w:jc w:val="both"/>
      <w:outlineLvl w:val="1"/>
    </w:pPr>
    <w:rPr>
      <w:rFonts w:eastAsiaTheme="majorEastAsia" w:cstheme="majorHAnsi"/>
      <w:b/>
      <w:bCs/>
      <w:color w:val="279DA3"/>
      <w:sz w:val="28"/>
      <w:szCs w:val="26"/>
    </w:rPr>
  </w:style>
  <w:style w:type="paragraph" w:styleId="Kop3">
    <w:name w:val="heading 3"/>
    <w:basedOn w:val="Standaard"/>
    <w:next w:val="Standaard"/>
    <w:link w:val="Kop3Char"/>
    <w:qFormat/>
    <w:rsid w:val="00565471"/>
    <w:pPr>
      <w:keepNext/>
      <w:tabs>
        <w:tab w:val="num" w:pos="720"/>
      </w:tabs>
      <w:spacing w:before="120" w:after="20"/>
      <w:jc w:val="both"/>
      <w:outlineLvl w:val="2"/>
    </w:pPr>
    <w:rPr>
      <w:rFonts w:eastAsiaTheme="majorEastAsia" w:cstheme="majorHAnsi"/>
      <w:b/>
      <w:color w:val="000000" w:themeColor="text1"/>
      <w:sz w:val="24"/>
      <w:lang w:val="en-US"/>
    </w:rPr>
  </w:style>
  <w:style w:type="paragraph" w:styleId="Kop4">
    <w:name w:val="heading 4"/>
    <w:basedOn w:val="Standaard"/>
    <w:next w:val="Standaard"/>
    <w:link w:val="Kop4Char"/>
    <w:uiPriority w:val="9"/>
    <w:semiHidden/>
    <w:unhideWhenUsed/>
    <w:qFormat/>
    <w:rsid w:val="00A348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65471"/>
    <w:rPr>
      <w:rFonts w:ascii="Avenir Roman" w:eastAsiaTheme="majorEastAsia" w:hAnsi="Avenir Roman" w:cs="Times New Roman (Headings CS)"/>
      <w:b/>
      <w:bCs/>
      <w:color w:val="264A94"/>
      <w:sz w:val="32"/>
      <w:szCs w:val="32"/>
    </w:rPr>
  </w:style>
  <w:style w:type="character" w:customStyle="1" w:styleId="Kop2Char">
    <w:name w:val="Kop 2 Char"/>
    <w:basedOn w:val="Standaardalinea-lettertype"/>
    <w:link w:val="Kop2"/>
    <w:rsid w:val="00565471"/>
    <w:rPr>
      <w:rFonts w:ascii="Avenir Roman" w:eastAsiaTheme="majorEastAsia" w:hAnsi="Avenir Roman" w:cstheme="majorHAnsi"/>
      <w:b/>
      <w:bCs/>
      <w:color w:val="279DA3"/>
      <w:sz w:val="28"/>
      <w:szCs w:val="26"/>
    </w:rPr>
  </w:style>
  <w:style w:type="character" w:customStyle="1" w:styleId="Kop3Char">
    <w:name w:val="Kop 3 Char"/>
    <w:basedOn w:val="Standaardalinea-lettertype"/>
    <w:link w:val="Kop3"/>
    <w:rsid w:val="00565471"/>
    <w:rPr>
      <w:rFonts w:ascii="Avenir Roman" w:eastAsiaTheme="majorEastAsia" w:hAnsi="Avenir Roman" w:cstheme="majorHAnsi"/>
      <w:b/>
      <w:color w:val="000000" w:themeColor="text1"/>
      <w:lang w:val="en-US"/>
    </w:rPr>
  </w:style>
  <w:style w:type="paragraph" w:styleId="Koptekst">
    <w:name w:val="header"/>
    <w:basedOn w:val="Standaard"/>
    <w:link w:val="KoptekstChar"/>
    <w:uiPriority w:val="99"/>
    <w:unhideWhenUsed/>
    <w:rsid w:val="00565471"/>
    <w:pPr>
      <w:tabs>
        <w:tab w:val="center" w:pos="4320"/>
        <w:tab w:val="right" w:pos="8640"/>
      </w:tabs>
    </w:pPr>
  </w:style>
  <w:style w:type="character" w:customStyle="1" w:styleId="KoptekstChar">
    <w:name w:val="Koptekst Char"/>
    <w:basedOn w:val="Standaardalinea-lettertype"/>
    <w:link w:val="Koptekst"/>
    <w:uiPriority w:val="99"/>
    <w:rsid w:val="00565471"/>
    <w:rPr>
      <w:rFonts w:ascii="Avenir Roman" w:eastAsiaTheme="minorEastAsia" w:hAnsi="Avenir Roman"/>
      <w:sz w:val="22"/>
    </w:rPr>
  </w:style>
  <w:style w:type="paragraph" w:styleId="Voettekst">
    <w:name w:val="footer"/>
    <w:basedOn w:val="Standaard"/>
    <w:link w:val="VoettekstChar"/>
    <w:uiPriority w:val="99"/>
    <w:unhideWhenUsed/>
    <w:rsid w:val="00565471"/>
    <w:pPr>
      <w:tabs>
        <w:tab w:val="center" w:pos="4320"/>
        <w:tab w:val="right" w:pos="8640"/>
      </w:tabs>
    </w:pPr>
  </w:style>
  <w:style w:type="character" w:customStyle="1" w:styleId="VoettekstChar">
    <w:name w:val="Voettekst Char"/>
    <w:basedOn w:val="Standaardalinea-lettertype"/>
    <w:link w:val="Voettekst"/>
    <w:uiPriority w:val="99"/>
    <w:rsid w:val="00565471"/>
    <w:rPr>
      <w:rFonts w:ascii="Avenir Roman" w:eastAsiaTheme="minorEastAsia" w:hAnsi="Avenir Roman"/>
      <w:sz w:val="22"/>
    </w:rPr>
  </w:style>
  <w:style w:type="character" w:customStyle="1" w:styleId="Kop4Char">
    <w:name w:val="Kop 4 Char"/>
    <w:basedOn w:val="Standaardalinea-lettertype"/>
    <w:link w:val="Kop4"/>
    <w:uiPriority w:val="9"/>
    <w:semiHidden/>
    <w:rsid w:val="00A34820"/>
    <w:rPr>
      <w:rFonts w:asciiTheme="majorHAnsi" w:eastAsiaTheme="majorEastAsia" w:hAnsiTheme="majorHAnsi" w:cstheme="majorBidi"/>
      <w:i/>
      <w:iCs/>
      <w:color w:val="2F5496" w:themeColor="accent1" w:themeShade="BF"/>
      <w:sz w:val="22"/>
    </w:rPr>
  </w:style>
  <w:style w:type="character" w:styleId="Paginanummer">
    <w:name w:val="page number"/>
    <w:basedOn w:val="Standaardalinea-lettertype"/>
    <w:uiPriority w:val="99"/>
    <w:semiHidden/>
    <w:unhideWhenUsed/>
    <w:rsid w:val="00565471"/>
  </w:style>
  <w:style w:type="paragraph" w:styleId="Titel">
    <w:name w:val="Title"/>
    <w:basedOn w:val="Standaard"/>
    <w:next w:val="Standaard"/>
    <w:link w:val="TitelChar"/>
    <w:uiPriority w:val="10"/>
    <w:qFormat/>
    <w:rsid w:val="00565471"/>
    <w:pPr>
      <w:contextualSpacing/>
    </w:pPr>
    <w:rPr>
      <w:rFonts w:eastAsiaTheme="majorEastAsia" w:cstheme="majorBidi"/>
      <w:color w:val="264A94"/>
      <w:spacing w:val="-10"/>
      <w:kern w:val="28"/>
      <w:sz w:val="56"/>
      <w:szCs w:val="56"/>
    </w:rPr>
  </w:style>
  <w:style w:type="character" w:customStyle="1" w:styleId="TitelChar">
    <w:name w:val="Titel Char"/>
    <w:basedOn w:val="Standaardalinea-lettertype"/>
    <w:link w:val="Titel"/>
    <w:uiPriority w:val="10"/>
    <w:rsid w:val="00565471"/>
    <w:rPr>
      <w:rFonts w:ascii="Avenir Roman" w:eastAsiaTheme="majorEastAsia" w:hAnsi="Avenir Roman" w:cstheme="majorBidi"/>
      <w:color w:val="264A94"/>
      <w:spacing w:val="-10"/>
      <w:kern w:val="28"/>
      <w:sz w:val="56"/>
      <w:szCs w:val="56"/>
    </w:rPr>
  </w:style>
  <w:style w:type="paragraph" w:styleId="Ballontekst">
    <w:name w:val="Balloon Text"/>
    <w:basedOn w:val="Standaard"/>
    <w:link w:val="BallontekstChar"/>
    <w:uiPriority w:val="99"/>
    <w:semiHidden/>
    <w:unhideWhenUsed/>
    <w:rsid w:val="002D572B"/>
    <w:rPr>
      <w:rFonts w:ascii="Lucida Grande" w:eastAsiaTheme="majorEastAsia" w:hAnsi="Lucida Grande" w:cs="Lucida Grande"/>
      <w:iCs/>
      <w:color w:val="000000" w:themeColor="text1"/>
      <w:sz w:val="18"/>
      <w:szCs w:val="18"/>
      <w:lang w:val="en-GB"/>
    </w:rPr>
  </w:style>
  <w:style w:type="character" w:customStyle="1" w:styleId="BallontekstChar">
    <w:name w:val="Ballontekst Char"/>
    <w:basedOn w:val="Standaardalinea-lettertype"/>
    <w:link w:val="Ballontekst"/>
    <w:uiPriority w:val="99"/>
    <w:semiHidden/>
    <w:rsid w:val="002D572B"/>
    <w:rPr>
      <w:rFonts w:ascii="Lucida Grande" w:eastAsiaTheme="majorEastAsia" w:hAnsi="Lucida Grande" w:cs="Lucida Grande"/>
      <w:iCs/>
      <w:color w:val="000000" w:themeColor="text1"/>
      <w:sz w:val="18"/>
      <w:szCs w:val="18"/>
      <w:lang w:val="en-GB"/>
    </w:rPr>
  </w:style>
  <w:style w:type="paragraph" w:customStyle="1" w:styleId="BulletList">
    <w:name w:val="Bullet List"/>
    <w:basedOn w:val="Standaard"/>
    <w:rsid w:val="002D572B"/>
    <w:pPr>
      <w:numPr>
        <w:numId w:val="3"/>
      </w:numPr>
      <w:spacing w:line="264" w:lineRule="auto"/>
    </w:pPr>
    <w:rPr>
      <w:rFonts w:eastAsiaTheme="majorEastAsia"/>
      <w:iCs/>
      <w:color w:val="000000" w:themeColor="text1"/>
      <w:szCs w:val="28"/>
    </w:rPr>
  </w:style>
  <w:style w:type="paragraph" w:styleId="Lijstalinea">
    <w:name w:val="List Paragraph"/>
    <w:basedOn w:val="Standaard"/>
    <w:uiPriority w:val="34"/>
    <w:qFormat/>
    <w:rsid w:val="002D5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lle/Dropbox/ICTI-projects-2020/0.%20templates/Word%20sjabloon%20(adviesrappor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sjabloon (adviesrapport).dotx</Template>
  <TotalTime>10</TotalTime>
  <Pages>3</Pages>
  <Words>855</Words>
  <Characters>4707</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2020-12-15T15:35:00Z</dcterms:created>
  <dcterms:modified xsi:type="dcterms:W3CDTF">2020-12-15T16:05:00Z</dcterms:modified>
</cp:coreProperties>
</file>